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12" w:type="dxa"/>
        <w:tblInd w:w="-615" w:type="dxa"/>
        <w:tblBorders>
          <w:top w:val="single" w:color="808080" w:themeColor="background1" w:themeShade="80" w:sz="12" w:space="0"/>
          <w:left w:val="single" w:color="808080" w:themeColor="background1" w:themeShade="80" w:sz="12" w:space="0"/>
          <w:bottom w:val="single" w:color="808080" w:themeColor="background1" w:themeShade="80" w:sz="12" w:space="0"/>
          <w:right w:val="single" w:color="808080" w:themeColor="background1" w:themeShade="80" w:sz="12" w:space="0"/>
          <w:insideH w:val="single" w:color="808080" w:themeColor="background1" w:themeShade="80" w:sz="12" w:space="0"/>
          <w:insideV w:val="single" w:color="808080" w:themeColor="background1" w:themeShade="80" w:sz="12" w:space="0"/>
        </w:tblBorders>
        <w:tblLook w:val="04A0" w:firstRow="1" w:lastRow="0" w:firstColumn="1" w:lastColumn="0" w:noHBand="0" w:noVBand="1"/>
      </w:tblPr>
      <w:tblGrid>
        <w:gridCol w:w="10512"/>
      </w:tblGrid>
      <w:tr w:rsidR="75930DEF" w:rsidTr="4B076F52" w14:paraId="5796065D" w14:textId="77777777">
        <w:trPr>
          <w:trHeight w:val="300"/>
        </w:trPr>
        <w:tc>
          <w:tcPr>
            <w:tcW w:w="10512" w:type="dxa"/>
            <w:tcBorders>
              <w:top w:val="double" w:color="808080" w:themeColor="background1" w:themeShade="80" w:sz="12" w:space="0"/>
              <w:left w:val="double" w:color="808080" w:themeColor="background1" w:themeShade="80" w:sz="12" w:space="0"/>
              <w:bottom w:val="double" w:color="808080" w:themeColor="background1" w:themeShade="80" w:sz="12" w:space="0"/>
              <w:right w:val="double" w:color="808080" w:themeColor="background1" w:themeShade="80" w:sz="12" w:space="0"/>
            </w:tcBorders>
            <w:shd w:val="clear" w:color="auto" w:fill="D9D9D9" w:themeFill="background1" w:themeFillShade="D9"/>
            <w:tcMar>
              <w:left w:w="105" w:type="dxa"/>
              <w:right w:w="105" w:type="dxa"/>
            </w:tcMar>
          </w:tcPr>
          <w:p w:rsidR="75930DEF" w:rsidP="39CAFC54" w:rsidRDefault="75930DEF" w14:paraId="674CF312" w14:textId="42843171">
            <w:pPr>
              <w:jc w:val="center"/>
              <w:rPr>
                <w:rFonts w:ascii="Calibri" w:hAnsi="Calibri" w:eastAsia="Calibri" w:cs="Calibri"/>
                <w:color w:val="000000" w:themeColor="text1"/>
              </w:rPr>
            </w:pPr>
            <w:r w:rsidRPr="39CAFC54">
              <w:rPr>
                <w:rFonts w:ascii="Calibri" w:hAnsi="Calibri" w:eastAsia="Calibri" w:cs="Calibri"/>
                <w:b/>
                <w:bCs/>
                <w:color w:val="000000" w:themeColor="text1"/>
              </w:rPr>
              <w:t>Curriculum INTENT</w:t>
            </w:r>
          </w:p>
        </w:tc>
      </w:tr>
      <w:tr w:rsidR="75930DEF" w:rsidTr="4B076F52" w14:paraId="0D72DBF3" w14:textId="77777777">
        <w:trPr>
          <w:trHeight w:val="1065"/>
        </w:trPr>
        <w:tc>
          <w:tcPr>
            <w:tcW w:w="10512" w:type="dxa"/>
            <w:tcBorders>
              <w:top w:val="double" w:color="808080" w:themeColor="background1" w:themeShade="80" w:sz="12" w:space="0"/>
              <w:left w:val="double" w:color="808080" w:themeColor="background1" w:themeShade="80" w:sz="12" w:space="0"/>
              <w:bottom w:val="double" w:color="808080" w:themeColor="background1" w:themeShade="80" w:sz="12" w:space="0"/>
              <w:right w:val="double" w:color="808080" w:themeColor="background1" w:themeShade="80" w:sz="12" w:space="0"/>
            </w:tcBorders>
            <w:tcMar>
              <w:left w:w="105" w:type="dxa"/>
              <w:right w:w="105" w:type="dxa"/>
            </w:tcMar>
          </w:tcPr>
          <w:p w:rsidR="31B48FA9" w:rsidP="53CE7E1F" w:rsidRDefault="57772AC4" w14:paraId="2EE7C816" w14:textId="5E01B750">
            <w:pPr>
              <w:spacing w:before="120" w:line="256" w:lineRule="auto"/>
              <w:jc w:val="center"/>
              <w:rPr>
                <w:rFonts w:ascii="Calibri" w:hAnsi="Calibri" w:eastAsia="Calibri" w:cs="Calibri"/>
                <w:color w:val="000000" w:themeColor="text1"/>
              </w:rPr>
            </w:pPr>
            <w:r w:rsidRPr="53CE7E1F">
              <w:rPr>
                <w:rFonts w:ascii="Calibri" w:hAnsi="Calibri" w:eastAsia="Calibri" w:cs="Calibri"/>
                <w:b/>
                <w:bCs/>
                <w:color w:val="000000" w:themeColor="text1"/>
              </w:rPr>
              <w:t>Our</w:t>
            </w:r>
            <w:r w:rsidRPr="53CE7E1F" w:rsidR="31B48FA9">
              <w:rPr>
                <w:rFonts w:ascii="Calibri" w:hAnsi="Calibri" w:eastAsia="Calibri" w:cs="Calibri"/>
                <w:b/>
                <w:bCs/>
                <w:color w:val="000000" w:themeColor="text1"/>
              </w:rPr>
              <w:t xml:space="preserve"> church school is one where we learn to live alongside </w:t>
            </w:r>
            <w:proofErr w:type="gramStart"/>
            <w:r w:rsidRPr="53CE7E1F" w:rsidR="31B48FA9">
              <w:rPr>
                <w:rFonts w:ascii="Calibri" w:hAnsi="Calibri" w:eastAsia="Calibri" w:cs="Calibri"/>
                <w:b/>
                <w:bCs/>
                <w:color w:val="000000" w:themeColor="text1"/>
              </w:rPr>
              <w:t>each other;</w:t>
            </w:r>
            <w:proofErr w:type="gramEnd"/>
            <w:r w:rsidRPr="53CE7E1F" w:rsidR="31B48FA9">
              <w:rPr>
                <w:rFonts w:ascii="Calibri" w:hAnsi="Calibri" w:eastAsia="Calibri" w:cs="Calibri"/>
                <w:b/>
                <w:bCs/>
                <w:color w:val="000000" w:themeColor="text1"/>
              </w:rPr>
              <w:t xml:space="preserve"> supporting, nurturing and collaborating with one another. We are a global family of children whereby every child is unique in the eyes of God. We are all loved by God and our core Christian values of Love, Courage and Fellowship, underpin everything we do. </w:t>
            </w:r>
          </w:p>
          <w:p w:rsidR="75930DEF" w:rsidP="53CE7E1F" w:rsidRDefault="75930DEF" w14:paraId="0DE7DD91" w14:textId="2EB140C6">
            <w:pPr>
              <w:shd w:val="clear" w:color="auto" w:fill="FFFFFF" w:themeFill="background1"/>
              <w:rPr>
                <w:rFonts w:ascii="Calibri" w:hAnsi="Calibri" w:eastAsia="Calibri" w:cs="Calibri"/>
                <w:color w:val="000000" w:themeColor="text1"/>
              </w:rPr>
            </w:pPr>
          </w:p>
          <w:p w:rsidR="2DD2140A" w:rsidP="4B076F52" w:rsidRDefault="2DD2140A" w14:paraId="423A285D" w14:textId="2DF1E84A">
            <w:pPr>
              <w:pStyle w:val="Normal"/>
              <w:suppressLineNumbers w:val="0"/>
              <w:bidi w:val="0"/>
              <w:spacing w:before="0" w:beforeAutospacing="off" w:after="0" w:afterAutospacing="off" w:line="240" w:lineRule="auto"/>
              <w:ind w:left="0" w:right="0"/>
              <w:jc w:val="left"/>
              <w:rPr>
                <w:rFonts w:ascii="Calibri" w:hAnsi="Calibri" w:eastAsia="Calibri" w:cs="Calibri"/>
                <w:noProof w:val="0"/>
                <w:color w:val="000000" w:themeColor="text1" w:themeTint="FF" w:themeShade="FF"/>
                <w:lang w:val="en-GB"/>
              </w:rPr>
            </w:pPr>
            <w:r w:rsidRPr="4B076F52" w:rsidR="2DD2140A">
              <w:rPr>
                <w:rFonts w:ascii="Calibri" w:hAnsi="Calibri" w:eastAsia="Calibri" w:cs="Calibri"/>
                <w:noProof w:val="0"/>
                <w:color w:val="000000" w:themeColor="text1" w:themeTint="FF" w:themeShade="FF"/>
                <w:lang w:val="en-GB"/>
              </w:rPr>
              <w:t xml:space="preserve">At St </w:t>
            </w:r>
            <w:r w:rsidRPr="4B076F52" w:rsidR="2DD2140A">
              <w:rPr>
                <w:rFonts w:ascii="Calibri" w:hAnsi="Calibri" w:eastAsia="Calibri" w:cs="Calibri"/>
                <w:noProof w:val="0"/>
                <w:color w:val="000000" w:themeColor="text1" w:themeTint="FF" w:themeShade="FF"/>
                <w:lang w:val="en-GB"/>
              </w:rPr>
              <w:t>Alban’s Primary</w:t>
            </w:r>
            <w:r w:rsidRPr="4B076F52" w:rsidR="2DD2140A">
              <w:rPr>
                <w:rFonts w:ascii="Calibri" w:hAnsi="Calibri" w:eastAsia="Calibri" w:cs="Calibri"/>
                <w:noProof w:val="0"/>
                <w:color w:val="000000" w:themeColor="text1" w:themeTint="FF" w:themeShade="FF"/>
                <w:lang w:val="en-GB"/>
              </w:rPr>
              <w:t xml:space="preserve"> School,</w:t>
            </w:r>
            <w:r w:rsidRPr="4B076F52" w:rsidR="0BA35DDA">
              <w:rPr>
                <w:rFonts w:ascii="Calibri" w:hAnsi="Calibri" w:eastAsia="Calibri" w:cs="Calibri"/>
                <w:noProof w:val="0"/>
                <w:color w:val="000000" w:themeColor="text1" w:themeTint="FF" w:themeShade="FF"/>
                <w:lang w:val="en-GB"/>
              </w:rPr>
              <w:t xml:space="preserve"> </w:t>
            </w:r>
            <w:r w:rsidRPr="4B076F52" w:rsidR="2DD2140A">
              <w:rPr>
                <w:rFonts w:ascii="Calibri" w:hAnsi="Calibri" w:eastAsia="Calibri" w:cs="Calibri"/>
                <w:noProof w:val="0"/>
                <w:color w:val="000000" w:themeColor="text1" w:themeTint="FF" w:themeShade="FF"/>
                <w:lang w:val="en-GB"/>
              </w:rPr>
              <w:t xml:space="preserve">we believe that an engaging Science curriculum will develop children’s love of discovery of the world around them. We aim to inspire an appreciation of the biological, </w:t>
            </w:r>
            <w:r w:rsidRPr="4B076F52" w:rsidR="2DD2140A">
              <w:rPr>
                <w:rFonts w:ascii="Calibri" w:hAnsi="Calibri" w:eastAsia="Calibri" w:cs="Calibri"/>
                <w:noProof w:val="0"/>
                <w:color w:val="000000" w:themeColor="text1" w:themeTint="FF" w:themeShade="FF"/>
                <w:lang w:val="en-GB"/>
              </w:rPr>
              <w:t>physical</w:t>
            </w:r>
            <w:r w:rsidRPr="4B076F52" w:rsidR="2DD2140A">
              <w:rPr>
                <w:rFonts w:ascii="Calibri" w:hAnsi="Calibri" w:eastAsia="Calibri" w:cs="Calibri"/>
                <w:noProof w:val="0"/>
                <w:color w:val="000000" w:themeColor="text1" w:themeTint="FF" w:themeShade="FF"/>
                <w:lang w:val="en-GB"/>
              </w:rPr>
              <w:t xml:space="preserve"> and chemical elements of our surroundings.  We recognise the importance of nurturing a culture where children take pride in the results of their enquiries, and how they have recorded their findings. We believe that children need to develop a secure grasp of skills and knowledge in </w:t>
            </w:r>
            <w:r w:rsidRPr="4B076F52" w:rsidR="2DD2140A">
              <w:rPr>
                <w:rFonts w:ascii="Calibri" w:hAnsi="Calibri" w:eastAsia="Calibri" w:cs="Calibri"/>
                <w:noProof w:val="0"/>
                <w:color w:val="000000" w:themeColor="text1" w:themeTint="FF" w:themeShade="FF"/>
                <w:lang w:val="en-GB"/>
              </w:rPr>
              <w:t>Science</w:t>
            </w:r>
            <w:r w:rsidRPr="4B076F52" w:rsidR="2DD2140A">
              <w:rPr>
                <w:rFonts w:ascii="Calibri" w:hAnsi="Calibri" w:eastAsia="Calibri" w:cs="Calibri"/>
                <w:noProof w:val="0"/>
                <w:color w:val="000000" w:themeColor="text1" w:themeTint="FF" w:themeShade="FF"/>
                <w:lang w:val="en-GB"/>
              </w:rPr>
              <w:t>; following a clear pathway of progression as they advance through the primary curriculu</w:t>
            </w:r>
            <w:r w:rsidRPr="4B076F52" w:rsidR="21D36217">
              <w:rPr>
                <w:rFonts w:ascii="Calibri" w:hAnsi="Calibri" w:eastAsia="Calibri" w:cs="Calibri"/>
                <w:noProof w:val="0"/>
                <w:color w:val="000000" w:themeColor="text1" w:themeTint="FF" w:themeShade="FF"/>
                <w:lang w:val="en-GB"/>
              </w:rPr>
              <w:t>m.</w:t>
            </w:r>
          </w:p>
          <w:p w:rsidR="4B076F52" w:rsidP="4B076F52" w:rsidRDefault="4B076F52" w14:paraId="4F471086" w14:textId="4E72A929">
            <w:pPr>
              <w:pStyle w:val="Normal"/>
              <w:suppressLineNumbers w:val="0"/>
              <w:bidi w:val="0"/>
              <w:spacing w:before="0" w:beforeAutospacing="off" w:after="0" w:afterAutospacing="off" w:line="240" w:lineRule="auto"/>
              <w:ind w:left="0" w:right="0"/>
              <w:jc w:val="left"/>
              <w:rPr>
                <w:rFonts w:ascii="Calibri" w:hAnsi="Calibri" w:eastAsia="Calibri" w:cs="Calibri"/>
                <w:color w:val="000000" w:themeColor="text1" w:themeTint="FF" w:themeShade="FF"/>
              </w:rPr>
            </w:pPr>
          </w:p>
          <w:p w:rsidR="75930DEF" w:rsidP="39CAFC54" w:rsidRDefault="75930DEF" w14:paraId="172D9624" w14:textId="78763E62">
            <w:pPr>
              <w:shd w:val="clear" w:color="auto" w:fill="FFFFFF" w:themeFill="background1"/>
              <w:rPr>
                <w:rFonts w:ascii="Calibri" w:hAnsi="Calibri" w:eastAsia="Calibri" w:cs="Calibri"/>
                <w:color w:val="000000" w:themeColor="text1"/>
                <w:sz w:val="22"/>
                <w:szCs w:val="22"/>
              </w:rPr>
            </w:pPr>
          </w:p>
        </w:tc>
      </w:tr>
      <w:tr w:rsidR="75930DEF" w:rsidTr="4B076F52" w14:paraId="0AB70D55" w14:textId="77777777">
        <w:trPr>
          <w:trHeight w:val="300"/>
        </w:trPr>
        <w:tc>
          <w:tcPr>
            <w:tcW w:w="10512" w:type="dxa"/>
            <w:tcBorders>
              <w:top w:val="double" w:color="808080" w:themeColor="background1" w:themeShade="80" w:sz="12" w:space="0"/>
              <w:left w:val="double" w:color="808080" w:themeColor="background1" w:themeShade="80" w:sz="12" w:space="0"/>
              <w:bottom w:val="double" w:color="808080" w:themeColor="background1" w:themeShade="80" w:sz="12" w:space="0"/>
              <w:right w:val="double" w:color="808080" w:themeColor="background1" w:themeShade="80" w:sz="12" w:space="0"/>
            </w:tcBorders>
            <w:shd w:val="clear" w:color="auto" w:fill="D9D9D9" w:themeFill="background1" w:themeFillShade="D9"/>
            <w:tcMar>
              <w:left w:w="105" w:type="dxa"/>
              <w:right w:w="105" w:type="dxa"/>
            </w:tcMar>
          </w:tcPr>
          <w:p w:rsidR="75930DEF" w:rsidP="39CAFC54" w:rsidRDefault="75930DEF" w14:paraId="0A875EAE" w14:textId="10DD15FE">
            <w:pPr>
              <w:jc w:val="center"/>
              <w:rPr>
                <w:rFonts w:ascii="Calibri" w:hAnsi="Calibri" w:eastAsia="Calibri" w:cs="Calibri"/>
                <w:color w:val="000000" w:themeColor="text1"/>
              </w:rPr>
            </w:pPr>
            <w:r w:rsidRPr="39CAFC54">
              <w:rPr>
                <w:rFonts w:ascii="Calibri" w:hAnsi="Calibri" w:eastAsia="Calibri" w:cs="Calibri"/>
                <w:b/>
                <w:bCs/>
                <w:color w:val="000000" w:themeColor="text1"/>
              </w:rPr>
              <w:t>Curriculum IMPLEMENTATION</w:t>
            </w:r>
          </w:p>
        </w:tc>
      </w:tr>
      <w:tr w:rsidR="764CDA1E" w:rsidTr="4B076F52" w14:paraId="20D4D39C" w14:textId="77777777">
        <w:trPr>
          <w:trHeight w:val="300"/>
        </w:trPr>
        <w:tc>
          <w:tcPr>
            <w:tcW w:w="10512" w:type="dxa"/>
            <w:tcBorders>
              <w:top w:val="double" w:color="808080" w:themeColor="background1" w:themeShade="80" w:sz="12" w:space="0"/>
              <w:left w:val="double" w:color="808080" w:themeColor="background1" w:themeShade="80" w:sz="12" w:space="0"/>
              <w:bottom w:val="double" w:color="808080" w:themeColor="background1" w:themeShade="80" w:sz="12" w:space="0"/>
              <w:right w:val="double" w:color="808080" w:themeColor="background1" w:themeShade="80" w:sz="12" w:space="0"/>
            </w:tcBorders>
            <w:shd w:val="clear" w:color="auto" w:fill="FFFFFF" w:themeFill="background1"/>
            <w:tcMar>
              <w:left w:w="105" w:type="dxa"/>
              <w:right w:w="105" w:type="dxa"/>
            </w:tcMar>
          </w:tcPr>
          <w:p w:rsidR="10796D4A" w:rsidP="4B076F52" w:rsidRDefault="10796D4A" w14:paraId="485C7D2D" w14:textId="0D1D0313">
            <w:pPr>
              <w:pStyle w:val="Normal"/>
              <w:suppressLineNumbers w:val="0"/>
              <w:bidi w:val="0"/>
              <w:spacing w:before="0" w:beforeAutospacing="off" w:after="0" w:afterAutospacing="off" w:line="240" w:lineRule="auto"/>
              <w:ind w:right="0"/>
              <w:jc w:val="left"/>
              <w:rPr>
                <w:rFonts w:ascii="Calibri" w:hAnsi="Calibri" w:eastAsia="Calibri" w:cs="Calibri"/>
                <w:noProof w:val="0"/>
                <w:color w:val="000000" w:themeColor="text1" w:themeTint="FF" w:themeShade="FF"/>
                <w:lang w:val="en-GB"/>
              </w:rPr>
            </w:pPr>
            <w:r w:rsidRPr="4B076F52" w:rsidR="10796D4A">
              <w:rPr>
                <w:rFonts w:ascii="Calibri" w:hAnsi="Calibri" w:eastAsia="Calibri" w:cs="Calibri"/>
                <w:noProof w:val="0"/>
                <w:color w:val="000000" w:themeColor="text1" w:themeTint="FF" w:themeShade="FF"/>
                <w:lang w:val="en-GB"/>
              </w:rPr>
              <w:t>The science curriculum is implemented in line with the National Curriculum, ensuring full coverage of biology, chemistry, and physics while building knowledge progressively across each key stage. Learning is organised into carefully sequenced learning quests that begin with activating prior knowledge and introducing key vocabulary, before developing substantive and disciplinary knowledge through practical experiences. Each learning quest is structured around meaningful scientific questions, allowing pupils to explore concepts in depth, revisit ideas, and make connections over time. Teachers use consistent approaches to modelling, questioning, and assessment to support pupils in remembering more and applying their learning with increasing confidence.</w:t>
            </w:r>
          </w:p>
          <w:p w:rsidR="10796D4A" w:rsidP="4B076F52" w:rsidRDefault="10796D4A" w14:paraId="753626F0" w14:textId="589E33D0">
            <w:pPr>
              <w:pStyle w:val="Normal"/>
              <w:suppressLineNumbers w:val="0"/>
              <w:bidi w:val="0"/>
              <w:spacing w:before="0" w:beforeAutospacing="off" w:after="0" w:afterAutospacing="off" w:line="240" w:lineRule="auto"/>
              <w:ind w:right="0"/>
              <w:jc w:val="left"/>
              <w:rPr>
                <w:rFonts w:ascii="Calibri" w:hAnsi="Calibri" w:eastAsia="Calibri" w:cs="Calibri"/>
                <w:noProof w:val="0"/>
                <w:color w:val="000000" w:themeColor="text1" w:themeTint="FF" w:themeShade="FF"/>
                <w:lang w:val="en-GB"/>
              </w:rPr>
            </w:pPr>
            <w:r w:rsidRPr="4B076F52" w:rsidR="10796D4A">
              <w:rPr>
                <w:rFonts w:ascii="Calibri" w:hAnsi="Calibri" w:eastAsia="Calibri" w:cs="Calibri"/>
                <w:noProof w:val="0"/>
                <w:color w:val="000000" w:themeColor="text1" w:themeTint="FF" w:themeShade="FF"/>
                <w:lang w:val="en-GB"/>
              </w:rPr>
              <w:t xml:space="preserve">Scientific enquiry is at the heart of curriculum implementation, with pupils regularly planning and carrying out investigations, </w:t>
            </w:r>
            <w:r w:rsidRPr="4B076F52" w:rsidR="10796D4A">
              <w:rPr>
                <w:rFonts w:ascii="Calibri" w:hAnsi="Calibri" w:eastAsia="Calibri" w:cs="Calibri"/>
                <w:noProof w:val="0"/>
                <w:color w:val="000000" w:themeColor="text1" w:themeTint="FF" w:themeShade="FF"/>
                <w:lang w:val="en-GB"/>
              </w:rPr>
              <w:t>observing</w:t>
            </w:r>
            <w:r w:rsidRPr="4B076F52" w:rsidR="10796D4A">
              <w:rPr>
                <w:rFonts w:ascii="Calibri" w:hAnsi="Calibri" w:eastAsia="Calibri" w:cs="Calibri"/>
                <w:noProof w:val="0"/>
                <w:color w:val="000000" w:themeColor="text1" w:themeTint="FF" w:themeShade="FF"/>
                <w:lang w:val="en-GB"/>
              </w:rPr>
              <w:t xml:space="preserve"> over time, </w:t>
            </w:r>
            <w:r w:rsidRPr="4B076F52" w:rsidR="10796D4A">
              <w:rPr>
                <w:rFonts w:ascii="Calibri" w:hAnsi="Calibri" w:eastAsia="Calibri" w:cs="Calibri"/>
                <w:noProof w:val="0"/>
                <w:color w:val="000000" w:themeColor="text1" w:themeTint="FF" w:themeShade="FF"/>
                <w:lang w:val="en-GB"/>
              </w:rPr>
              <w:t>identifying</w:t>
            </w:r>
            <w:r w:rsidRPr="4B076F52" w:rsidR="10796D4A">
              <w:rPr>
                <w:rFonts w:ascii="Calibri" w:hAnsi="Calibri" w:eastAsia="Calibri" w:cs="Calibri"/>
                <w:noProof w:val="0"/>
                <w:color w:val="000000" w:themeColor="text1" w:themeTint="FF" w:themeShade="FF"/>
                <w:lang w:val="en-GB"/>
              </w:rPr>
              <w:t xml:space="preserve"> and classifying, pattern </w:t>
            </w:r>
            <w:r w:rsidRPr="4B076F52" w:rsidR="10796D4A">
              <w:rPr>
                <w:rFonts w:ascii="Calibri" w:hAnsi="Calibri" w:eastAsia="Calibri" w:cs="Calibri"/>
                <w:noProof w:val="0"/>
                <w:color w:val="000000" w:themeColor="text1" w:themeTint="FF" w:themeShade="FF"/>
                <w:lang w:val="en-GB"/>
              </w:rPr>
              <w:t>seeking</w:t>
            </w:r>
            <w:r w:rsidRPr="4B076F52" w:rsidR="10796D4A">
              <w:rPr>
                <w:rFonts w:ascii="Calibri" w:hAnsi="Calibri" w:eastAsia="Calibri" w:cs="Calibri"/>
                <w:noProof w:val="0"/>
                <w:color w:val="000000" w:themeColor="text1" w:themeTint="FF" w:themeShade="FF"/>
                <w:lang w:val="en-GB"/>
              </w:rPr>
              <w:t xml:space="preserve">, and researching using secondary sources. Inclusive teaching strategies ensure all pupils can access and succeed in science learning, including clear scaffolding, adapted resources, and opportunities for hands-on exploration. Learning quests are designed to engage and challenge all learners, promoting curiosity, collaboration, and resilience, while providing </w:t>
            </w:r>
            <w:r w:rsidRPr="4B076F52" w:rsidR="10796D4A">
              <w:rPr>
                <w:rFonts w:ascii="Calibri" w:hAnsi="Calibri" w:eastAsia="Calibri" w:cs="Calibri"/>
                <w:noProof w:val="0"/>
                <w:color w:val="000000" w:themeColor="text1" w:themeTint="FF" w:themeShade="FF"/>
                <w:lang w:val="en-GB"/>
              </w:rPr>
              <w:t>appropriate support</w:t>
            </w:r>
            <w:r w:rsidRPr="4B076F52" w:rsidR="10796D4A">
              <w:rPr>
                <w:rFonts w:ascii="Calibri" w:hAnsi="Calibri" w:eastAsia="Calibri" w:cs="Calibri"/>
                <w:noProof w:val="0"/>
                <w:color w:val="000000" w:themeColor="text1" w:themeTint="FF" w:themeShade="FF"/>
                <w:lang w:val="en-GB"/>
              </w:rPr>
              <w:t xml:space="preserve"> and stretch where needed. Through these approaches, pupils develop the skills and understanding </w:t>
            </w:r>
            <w:r w:rsidRPr="4B076F52" w:rsidR="10796D4A">
              <w:rPr>
                <w:rFonts w:ascii="Calibri" w:hAnsi="Calibri" w:eastAsia="Calibri" w:cs="Calibri"/>
                <w:noProof w:val="0"/>
                <w:color w:val="000000" w:themeColor="text1" w:themeTint="FF" w:themeShade="FF"/>
                <w:lang w:val="en-GB"/>
              </w:rPr>
              <w:t>required</w:t>
            </w:r>
            <w:r w:rsidRPr="4B076F52" w:rsidR="10796D4A">
              <w:rPr>
                <w:rFonts w:ascii="Calibri" w:hAnsi="Calibri" w:eastAsia="Calibri" w:cs="Calibri"/>
                <w:noProof w:val="0"/>
                <w:color w:val="000000" w:themeColor="text1" w:themeTint="FF" w:themeShade="FF"/>
                <w:lang w:val="en-GB"/>
              </w:rPr>
              <w:t xml:space="preserve"> to think and work scientifically, preparing them for future learning and real-world scientific contexts.</w:t>
            </w:r>
          </w:p>
          <w:p w:rsidR="4B076F52" w:rsidP="4B076F52" w:rsidRDefault="4B076F52" w14:paraId="3EE53BE2" w14:textId="1B34439B">
            <w:pPr>
              <w:pStyle w:val="Normal"/>
              <w:suppressLineNumbers w:val="0"/>
              <w:bidi w:val="0"/>
              <w:spacing w:before="0" w:beforeAutospacing="off" w:after="0" w:afterAutospacing="off" w:line="240" w:lineRule="auto"/>
              <w:ind w:right="0"/>
              <w:jc w:val="left"/>
              <w:rPr>
                <w:rFonts w:ascii="Calibri" w:hAnsi="Calibri" w:eastAsia="Calibri" w:cs="Calibri"/>
                <w:noProof w:val="0"/>
                <w:color w:val="000000" w:themeColor="text1" w:themeTint="FF" w:themeShade="FF"/>
                <w:lang w:val="en-GB"/>
              </w:rPr>
            </w:pPr>
          </w:p>
          <w:p w:rsidR="4B076F52" w:rsidP="4B076F52" w:rsidRDefault="4B076F52" w14:paraId="4B5694C5" w14:textId="6F2F915D">
            <w:pPr>
              <w:jc w:val="center"/>
              <w:rPr>
                <w:rFonts w:ascii="Calibri" w:hAnsi="Calibri" w:eastAsia="Calibri" w:cs="Calibri"/>
                <w:b w:val="1"/>
                <w:bCs w:val="1"/>
                <w:color w:val="000000" w:themeColor="text1" w:themeTint="FF" w:themeShade="FF"/>
              </w:rPr>
            </w:pPr>
          </w:p>
          <w:p w:rsidR="764CDA1E" w:rsidP="764CDA1E" w:rsidRDefault="764CDA1E" w14:paraId="12BF1468" w14:textId="3C279D0E">
            <w:pPr>
              <w:jc w:val="center"/>
              <w:rPr>
                <w:rFonts w:ascii="Calibri" w:hAnsi="Calibri" w:eastAsia="Calibri" w:cs="Calibri"/>
                <w:b/>
                <w:bCs/>
                <w:color w:val="000000" w:themeColor="text1"/>
              </w:rPr>
            </w:pPr>
          </w:p>
          <w:p w:rsidR="764CDA1E" w:rsidP="764CDA1E" w:rsidRDefault="764CDA1E" w14:paraId="33F0D096" w14:textId="2826BE22">
            <w:pPr>
              <w:jc w:val="center"/>
              <w:rPr>
                <w:rFonts w:ascii="Calibri" w:hAnsi="Calibri" w:eastAsia="Calibri" w:cs="Calibri"/>
                <w:b/>
                <w:bCs/>
                <w:color w:val="000000" w:themeColor="text1"/>
              </w:rPr>
            </w:pPr>
          </w:p>
        </w:tc>
      </w:tr>
      <w:tr w:rsidR="764CDA1E" w:rsidTr="4B076F52" w14:paraId="3F2C05F2" w14:textId="77777777">
        <w:trPr>
          <w:trHeight w:val="300"/>
        </w:trPr>
        <w:tc>
          <w:tcPr>
            <w:tcW w:w="10512" w:type="dxa"/>
            <w:tcBorders>
              <w:top w:val="double" w:color="808080" w:themeColor="background1" w:themeShade="80" w:sz="12" w:space="0"/>
              <w:left w:val="double" w:color="808080" w:themeColor="background1" w:themeShade="80" w:sz="12" w:space="0"/>
              <w:bottom w:val="double" w:color="808080" w:themeColor="background1" w:themeShade="80" w:sz="12" w:space="0"/>
              <w:right w:val="double" w:color="808080" w:themeColor="background1" w:themeShade="80" w:sz="12" w:space="0"/>
            </w:tcBorders>
            <w:shd w:val="clear" w:color="auto" w:fill="D9D9D9" w:themeFill="background1" w:themeFillShade="D9"/>
            <w:tcMar>
              <w:left w:w="105" w:type="dxa"/>
              <w:right w:w="105" w:type="dxa"/>
            </w:tcMar>
          </w:tcPr>
          <w:p w:rsidR="7C9B5E09" w:rsidRDefault="7C9B5E09" w14:paraId="3257E2FC" w14:textId="63935E06">
            <w:r w:rsidRPr="764CDA1E">
              <w:rPr>
                <w:rFonts w:ascii="Calibri" w:hAnsi="Calibri" w:eastAsia="Calibri" w:cs="Calibri"/>
                <w:b/>
                <w:bCs/>
                <w:color w:val="000000" w:themeColor="text1"/>
                <w:sz w:val="22"/>
                <w:szCs w:val="22"/>
              </w:rPr>
              <w:lastRenderedPageBreak/>
              <w:t xml:space="preserve">Teaching approach: non-negotiables for teachers, Learning journey structure/steps and Pupil approach: </w:t>
            </w:r>
            <w:r w:rsidRPr="764CDA1E">
              <w:rPr>
                <w:rFonts w:ascii="Calibri" w:hAnsi="Calibri" w:eastAsia="Calibri" w:cs="Calibri"/>
                <w:sz w:val="22"/>
                <w:szCs w:val="22"/>
              </w:rPr>
              <w:t xml:space="preserve"> </w:t>
            </w:r>
          </w:p>
        </w:tc>
      </w:tr>
      <w:tr w:rsidR="75930DEF" w:rsidTr="4B076F52" w14:paraId="20C0FFFF" w14:textId="77777777">
        <w:trPr>
          <w:trHeight w:val="5295"/>
        </w:trPr>
        <w:tc>
          <w:tcPr>
            <w:tcW w:w="10512" w:type="dxa"/>
            <w:tcBorders>
              <w:top w:val="double" w:color="808080" w:themeColor="background1" w:themeShade="80" w:sz="12" w:space="0"/>
              <w:left w:val="double" w:color="808080" w:themeColor="background1" w:themeShade="80" w:sz="12" w:space="0"/>
              <w:bottom w:val="double" w:color="808080" w:themeColor="background1" w:themeShade="80" w:sz="12" w:space="0"/>
              <w:right w:val="double" w:color="808080" w:themeColor="background1" w:themeShade="80" w:sz="12" w:space="0"/>
            </w:tcBorders>
            <w:tcMar/>
          </w:tcPr>
          <w:p w:rsidR="53CE7E1F" w:rsidP="53CE7E1F" w:rsidRDefault="53CE7E1F" w14:paraId="56376108" w14:textId="06344E05">
            <w:pPr>
              <w:rPr>
                <w:rFonts w:ascii="Calibri" w:hAnsi="Calibri" w:eastAsia="Calibri" w:cs="Calibri"/>
                <w:color w:val="000000" w:themeColor="text1"/>
              </w:rPr>
            </w:pPr>
          </w:p>
          <w:p w:rsidR="75930DEF" w:rsidP="75930DEF" w:rsidRDefault="75930DEF" w14:paraId="085CC5CD" w14:textId="2B7550CF">
            <w:pPr>
              <w:rPr>
                <w:rFonts w:ascii="Calibri" w:hAnsi="Calibri" w:eastAsia="Calibri" w:cs="Calibri"/>
                <w:color w:val="000000" w:themeColor="text1"/>
                <w:sz w:val="16"/>
                <w:szCs w:val="16"/>
              </w:rPr>
            </w:pPr>
          </w:p>
          <w:tbl>
            <w:tblPr>
              <w:tblStyle w:val="TableGrid"/>
              <w:tblW w:w="10080" w:type="dxa"/>
              <w:tblBorders>
                <w:top w:val="single" w:color="808080" w:themeColor="background1" w:themeShade="80" w:sz="12" w:space="0"/>
                <w:left w:val="single" w:color="808080" w:themeColor="background1" w:themeShade="80" w:sz="12" w:space="0"/>
                <w:bottom w:val="single" w:color="808080" w:themeColor="background1" w:themeShade="80" w:sz="12" w:space="0"/>
                <w:right w:val="single" w:color="808080" w:themeColor="background1" w:themeShade="80" w:sz="12" w:space="0"/>
                <w:insideH w:val="single" w:color="808080" w:themeColor="background1" w:themeShade="80" w:sz="12" w:space="0"/>
                <w:insideV w:val="single" w:color="808080" w:themeColor="background1" w:themeShade="80" w:sz="12" w:space="0"/>
              </w:tblBorders>
              <w:tblLook w:val="04A0" w:firstRow="1" w:lastRow="0" w:firstColumn="1" w:lastColumn="0" w:noHBand="0" w:noVBand="1"/>
            </w:tblPr>
            <w:tblGrid>
              <w:gridCol w:w="5040"/>
              <w:gridCol w:w="5040"/>
            </w:tblGrid>
            <w:tr w:rsidR="75930DEF" w:rsidTr="4B076F52" w14:paraId="43209DE4" w14:textId="77777777">
              <w:trPr>
                <w:trHeight w:val="300"/>
              </w:trPr>
              <w:tc>
                <w:tcPr>
                  <w:tcW w:w="5040" w:type="dxa"/>
                  <w:tcBorders>
                    <w:top w:val="double" w:color="808080" w:themeColor="background1" w:themeShade="80" w:sz="6" w:space="0"/>
                    <w:left w:val="double" w:color="808080" w:themeColor="background1" w:themeShade="80" w:sz="6" w:space="0"/>
                    <w:bottom w:val="double" w:color="808080" w:themeColor="background1" w:themeShade="80" w:sz="6" w:space="0"/>
                    <w:right w:val="double" w:color="808080" w:themeColor="background1" w:themeShade="80" w:sz="6" w:space="0"/>
                  </w:tcBorders>
                  <w:tcMar>
                    <w:left w:w="105" w:type="dxa"/>
                    <w:right w:w="105" w:type="dxa"/>
                  </w:tcMar>
                </w:tcPr>
                <w:p w:rsidR="75930DEF" w:rsidP="75930DEF" w:rsidRDefault="75930DEF" w14:paraId="5F3C4385" w14:textId="14281F89">
                  <w:pPr>
                    <w:jc w:val="center"/>
                    <w:rPr>
                      <w:rFonts w:ascii="Calibri" w:hAnsi="Calibri" w:eastAsia="Calibri" w:cs="Calibri"/>
                      <w:sz w:val="16"/>
                      <w:szCs w:val="16"/>
                    </w:rPr>
                  </w:pPr>
                  <w:r w:rsidRPr="4B076F52" w:rsidR="1AB6ADD5">
                    <w:rPr>
                      <w:rFonts w:ascii="Calibri" w:hAnsi="Calibri" w:eastAsia="Calibri" w:cs="Calibri"/>
                      <w:b w:val="1"/>
                      <w:bCs w:val="1"/>
                      <w:sz w:val="16"/>
                      <w:szCs w:val="16"/>
                    </w:rPr>
                    <w:t>Planning</w:t>
                  </w:r>
                </w:p>
                <w:p w:rsidR="75930DEF" w:rsidP="4B076F52" w:rsidRDefault="75930DEF" w14:paraId="3E9BF9CB" w14:textId="36F082A8">
                  <w:pPr>
                    <w:jc w:val="center"/>
                    <w:rPr>
                      <w:rFonts w:ascii="Calibri" w:hAnsi="Calibri" w:eastAsia="Calibri" w:cs="Calibri"/>
                      <w:noProof w:val="0"/>
                      <w:sz w:val="16"/>
                      <w:szCs w:val="16"/>
                      <w:lang w:val="en-GB"/>
                    </w:rPr>
                  </w:pPr>
                  <w:r w:rsidRPr="4B076F52" w:rsidR="072A69BD">
                    <w:rPr>
                      <w:rFonts w:ascii="Calibri" w:hAnsi="Calibri" w:eastAsia="Calibri" w:cs="Calibri"/>
                      <w:b w:val="0"/>
                      <w:bCs w:val="0"/>
                      <w:i w:val="0"/>
                      <w:iCs w:val="0"/>
                      <w:caps w:val="0"/>
                      <w:smallCaps w:val="0"/>
                      <w:noProof w:val="0"/>
                      <w:color w:val="000000" w:themeColor="text1" w:themeTint="FF" w:themeShade="FF"/>
                      <w:sz w:val="16"/>
                      <w:szCs w:val="16"/>
                      <w:lang w:val="en-GB"/>
                    </w:rPr>
                    <w:t xml:space="preserve">Planning is taken from the Programmes of Study in the National Curriculum  for KS1 and 2, and from Development Matters for Early Years. </w:t>
                  </w:r>
                </w:p>
                <w:p w:rsidR="75930DEF" w:rsidP="4B076F52" w:rsidRDefault="75930DEF" w14:paraId="2482B264" w14:textId="32B8AC6D">
                  <w:pPr>
                    <w:jc w:val="center"/>
                    <w:rPr>
                      <w:rFonts w:ascii="Calibri" w:hAnsi="Calibri" w:eastAsia="Calibri" w:cs="Calibri"/>
                      <w:noProof w:val="0"/>
                      <w:sz w:val="16"/>
                      <w:szCs w:val="16"/>
                      <w:lang w:val="en-GB"/>
                    </w:rPr>
                  </w:pPr>
                  <w:r w:rsidRPr="4B076F52" w:rsidR="072A69BD">
                    <w:rPr>
                      <w:rFonts w:ascii="Calibri" w:hAnsi="Calibri" w:eastAsia="Calibri" w:cs="Calibri"/>
                      <w:b w:val="0"/>
                      <w:bCs w:val="0"/>
                      <w:i w:val="0"/>
                      <w:iCs w:val="0"/>
                      <w:caps w:val="0"/>
                      <w:smallCaps w:val="0"/>
                      <w:noProof w:val="0"/>
                      <w:color w:val="000000" w:themeColor="text1" w:themeTint="FF" w:themeShade="FF"/>
                      <w:sz w:val="16"/>
                      <w:szCs w:val="16"/>
                      <w:lang w:val="en-GB"/>
                    </w:rPr>
                    <w:t xml:space="preserve">We use, where </w:t>
                  </w:r>
                  <w:r w:rsidRPr="4B076F52" w:rsidR="072A69BD">
                    <w:rPr>
                      <w:rFonts w:ascii="Calibri" w:hAnsi="Calibri" w:eastAsia="Calibri" w:cs="Calibri"/>
                      <w:b w:val="0"/>
                      <w:bCs w:val="0"/>
                      <w:i w:val="0"/>
                      <w:iCs w:val="0"/>
                      <w:caps w:val="0"/>
                      <w:smallCaps w:val="0"/>
                      <w:noProof w:val="0"/>
                      <w:color w:val="000000" w:themeColor="text1" w:themeTint="FF" w:themeShade="FF"/>
                      <w:sz w:val="16"/>
                      <w:szCs w:val="16"/>
                      <w:lang w:val="en-GB"/>
                    </w:rPr>
                    <w:t>appropriate</w:t>
                  </w:r>
                  <w:r w:rsidRPr="4B076F52" w:rsidR="072A69BD">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HIAS </w:t>
                  </w:r>
                  <w:r w:rsidRPr="4B076F52" w:rsidR="072A69BD">
                    <w:rPr>
                      <w:rFonts w:ascii="Calibri" w:hAnsi="Calibri" w:eastAsia="Calibri" w:cs="Calibri"/>
                      <w:b w:val="0"/>
                      <w:bCs w:val="0"/>
                      <w:i w:val="0"/>
                      <w:iCs w:val="0"/>
                      <w:caps w:val="0"/>
                      <w:smallCaps w:val="0"/>
                      <w:noProof w:val="0"/>
                      <w:color w:val="000000" w:themeColor="text1" w:themeTint="FF" w:themeShade="FF"/>
                      <w:sz w:val="16"/>
                      <w:szCs w:val="16"/>
                      <w:lang w:val="en-GB"/>
                    </w:rPr>
                    <w:t>guidance plans</w:t>
                  </w:r>
                  <w:r w:rsidRPr="4B076F52" w:rsidR="072A69BD">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to enhance the material for study. The scaffolding processes needed by children with SEN are also planned </w:t>
                  </w:r>
                  <w:r w:rsidRPr="4B076F52" w:rsidR="072A69BD">
                    <w:rPr>
                      <w:rFonts w:ascii="Calibri" w:hAnsi="Calibri" w:eastAsia="Calibri" w:cs="Calibri"/>
                      <w:b w:val="0"/>
                      <w:bCs w:val="0"/>
                      <w:i w:val="0"/>
                      <w:iCs w:val="0"/>
                      <w:caps w:val="0"/>
                      <w:smallCaps w:val="0"/>
                      <w:noProof w:val="0"/>
                      <w:color w:val="000000" w:themeColor="text1" w:themeTint="FF" w:themeShade="FF"/>
                      <w:sz w:val="16"/>
                      <w:szCs w:val="16"/>
                      <w:lang w:val="en-GB"/>
                    </w:rPr>
                    <w:t>in to</w:t>
                  </w:r>
                  <w:r w:rsidRPr="4B076F52" w:rsidR="072A69BD">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science activities to ensure the access of the science content for all.</w:t>
                  </w:r>
                </w:p>
                <w:p w:rsidR="75930DEF" w:rsidP="39CAFC54" w:rsidRDefault="75930DEF" w14:paraId="6BC80AA5" w14:textId="457BAA67">
                  <w:pPr>
                    <w:jc w:val="center"/>
                    <w:rPr>
                      <w:rFonts w:ascii="Calibri" w:hAnsi="Calibri" w:eastAsia="Calibri" w:cs="Calibri"/>
                      <w:sz w:val="16"/>
                      <w:szCs w:val="16"/>
                    </w:rPr>
                  </w:pPr>
                  <w:r w:rsidRPr="4B076F52" w:rsidR="1AB6ADD5">
                    <w:rPr>
                      <w:rFonts w:ascii="Calibri" w:hAnsi="Calibri" w:eastAsia="Calibri" w:cs="Calibri"/>
                      <w:sz w:val="16"/>
                      <w:szCs w:val="16"/>
                    </w:rPr>
                    <w:t xml:space="preserve"> </w:t>
                  </w:r>
                </w:p>
              </w:tc>
              <w:tc>
                <w:tcPr>
                  <w:tcW w:w="5040" w:type="dxa"/>
                  <w:tcBorders>
                    <w:top w:val="double" w:color="808080" w:themeColor="background1" w:themeShade="80" w:sz="6" w:space="0"/>
                    <w:left w:val="double" w:color="808080" w:themeColor="background1" w:themeShade="80" w:sz="6" w:space="0"/>
                    <w:bottom w:val="double" w:color="808080" w:themeColor="background1" w:themeShade="80" w:sz="6" w:space="0"/>
                    <w:right w:val="double" w:color="808080" w:themeColor="background1" w:themeShade="80" w:sz="6" w:space="0"/>
                  </w:tcBorders>
                  <w:tcMar>
                    <w:left w:w="105" w:type="dxa"/>
                    <w:right w:w="105" w:type="dxa"/>
                  </w:tcMar>
                </w:tcPr>
                <w:p w:rsidR="75930DEF" w:rsidP="4B076F52" w:rsidRDefault="75930DEF" w14:paraId="3E76E546" w14:textId="4EA26798">
                  <w:pPr>
                    <w:jc w:val="center"/>
                    <w:rPr>
                      <w:rFonts w:ascii="Calibri" w:hAnsi="Calibri" w:eastAsia="Calibri" w:cs="Calibri"/>
                      <w:b w:val="0"/>
                      <w:bCs w:val="0"/>
                      <w:i w:val="0"/>
                      <w:iCs w:val="0"/>
                      <w:caps w:val="0"/>
                      <w:smallCaps w:val="0"/>
                      <w:noProof w:val="0"/>
                      <w:color w:val="000000" w:themeColor="text1" w:themeTint="FF" w:themeShade="FF"/>
                      <w:sz w:val="16"/>
                      <w:szCs w:val="16"/>
                      <w:lang w:val="en-GB"/>
                    </w:rPr>
                  </w:pPr>
                  <w:r w:rsidRPr="4B076F52" w:rsidR="0E67537D">
                    <w:rPr>
                      <w:rFonts w:ascii="Calibri" w:hAnsi="Calibri" w:eastAsia="Calibri" w:cs="Calibri"/>
                      <w:b w:val="1"/>
                      <w:bCs w:val="1"/>
                      <w:i w:val="0"/>
                      <w:iCs w:val="0"/>
                      <w:caps w:val="0"/>
                      <w:smallCaps w:val="0"/>
                      <w:noProof w:val="0"/>
                      <w:color w:val="000000" w:themeColor="text1" w:themeTint="FF" w:themeShade="FF"/>
                      <w:sz w:val="16"/>
                      <w:szCs w:val="16"/>
                      <w:lang w:val="en-GB"/>
                    </w:rPr>
                    <w:t>Working Scientifically</w:t>
                  </w:r>
                  <w:proofErr w:type="gramStart"/>
                  <w:proofErr w:type="gramEnd"/>
                </w:p>
                <w:p w:rsidR="75930DEF" w:rsidP="4B076F52" w:rsidRDefault="75930DEF" w14:paraId="19228A9F" w14:textId="74A5C47C">
                  <w:pPr>
                    <w:jc w:val="center"/>
                    <w:rPr>
                      <w:rFonts w:ascii="Calibri" w:hAnsi="Calibri" w:eastAsia="Calibri" w:cs="Calibri"/>
                      <w:b w:val="0"/>
                      <w:bCs w:val="0"/>
                      <w:i w:val="0"/>
                      <w:iCs w:val="0"/>
                      <w:caps w:val="0"/>
                      <w:smallCaps w:val="0"/>
                      <w:noProof w:val="0"/>
                      <w:color w:val="000000" w:themeColor="text1" w:themeTint="FF" w:themeShade="FF"/>
                      <w:sz w:val="14"/>
                      <w:szCs w:val="14"/>
                      <w:lang w:val="en-GB"/>
                    </w:rPr>
                  </w:pPr>
                  <w:r w:rsidRPr="4B076F52" w:rsidR="0E67537D">
                    <w:rPr>
                      <w:rFonts w:ascii="Calibri" w:hAnsi="Calibri" w:eastAsia="Calibri" w:cs="Calibri"/>
                      <w:b w:val="0"/>
                      <w:bCs w:val="0"/>
                      <w:i w:val="0"/>
                      <w:iCs w:val="0"/>
                      <w:caps w:val="0"/>
                      <w:smallCaps w:val="0"/>
                      <w:noProof w:val="0"/>
                      <w:color w:val="000000" w:themeColor="text1" w:themeTint="FF" w:themeShade="FF"/>
                      <w:sz w:val="14"/>
                      <w:szCs w:val="14"/>
                      <w:lang w:val="en-GB"/>
                    </w:rPr>
                    <w:t>‘</w:t>
                  </w:r>
                  <w:r w:rsidRPr="4B076F52" w:rsidR="0E67537D">
                    <w:rPr>
                      <w:rFonts w:ascii="Calibri" w:hAnsi="Calibri" w:eastAsia="Calibri" w:cs="Calibri"/>
                      <w:b w:val="0"/>
                      <w:bCs w:val="0"/>
                      <w:i w:val="0"/>
                      <w:iCs w:val="0"/>
                      <w:caps w:val="0"/>
                      <w:smallCaps w:val="0"/>
                      <w:noProof w:val="0"/>
                      <w:color w:val="000000" w:themeColor="text1" w:themeTint="FF" w:themeShade="FF"/>
                      <w:sz w:val="16"/>
                      <w:szCs w:val="16"/>
                      <w:lang w:val="en-GB"/>
                    </w:rPr>
                    <w:t>Working scientifically’ specifies the understanding of the nature, processes and methods of science for each year group. It is not taught as a separate strand. We embed ‘working scientifically’ within the content of biology, chemistry and physics, focusing on the key features of scientific enquiry, so that pupils learn to use a variety of approaches to answer relevant scientific questions. These types of scientific enquiry include: observing over time; pattern seeking; identifying, classifying and grouping; comparative and fair testing (controlled investigations); and researching using secondary sources. We plan for pupils to seek answers to questions through collecting, analysing and presenting data.</w:t>
                  </w:r>
                </w:p>
                <w:p w:rsidR="75930DEF" w:rsidP="39CAFC54" w:rsidRDefault="75930DEF" w14:paraId="44A91E2F" w14:textId="1214A431">
                  <w:pPr>
                    <w:jc w:val="center"/>
                    <w:rPr>
                      <w:rFonts w:ascii="Calibri" w:hAnsi="Calibri" w:eastAsia="Calibri" w:cs="Calibri"/>
                      <w:sz w:val="16"/>
                      <w:szCs w:val="16"/>
                    </w:rPr>
                  </w:pPr>
                </w:p>
              </w:tc>
            </w:tr>
            <w:tr w:rsidR="75930DEF" w:rsidTr="4B076F52" w14:paraId="72BEE235" w14:textId="77777777">
              <w:trPr>
                <w:trHeight w:val="1995"/>
              </w:trPr>
              <w:tc>
                <w:tcPr>
                  <w:tcW w:w="5040" w:type="dxa"/>
                  <w:tcBorders>
                    <w:top w:val="double" w:color="808080" w:themeColor="background1" w:themeShade="80" w:sz="6" w:space="0"/>
                    <w:left w:val="double" w:color="808080" w:themeColor="background1" w:themeShade="80" w:sz="6" w:space="0"/>
                    <w:bottom w:val="double" w:color="808080" w:themeColor="background1" w:themeShade="80" w:sz="6" w:space="0"/>
                    <w:right w:val="double" w:color="808080" w:themeColor="background1" w:themeShade="80" w:sz="6" w:space="0"/>
                  </w:tcBorders>
                  <w:tcMar>
                    <w:left w:w="105" w:type="dxa"/>
                    <w:right w:w="105" w:type="dxa"/>
                  </w:tcMar>
                </w:tcPr>
                <w:p w:rsidR="75930DEF" w:rsidP="4B076F52" w:rsidRDefault="3FC32ADE" w14:paraId="7CBDB889" w14:textId="18309887">
                  <w:pPr>
                    <w:jc w:val="center"/>
                    <w:rPr>
                      <w:rFonts w:ascii="Calibri" w:hAnsi="Calibri" w:eastAsia="Calibri" w:cs="Calibri"/>
                      <w:b w:val="0"/>
                      <w:bCs w:val="0"/>
                      <w:i w:val="0"/>
                      <w:iCs w:val="0"/>
                      <w:caps w:val="0"/>
                      <w:smallCaps w:val="0"/>
                      <w:noProof w:val="0"/>
                      <w:color w:val="000000" w:themeColor="text1" w:themeTint="FF" w:themeShade="FF"/>
                      <w:sz w:val="16"/>
                      <w:szCs w:val="16"/>
                      <w:lang w:val="en-GB"/>
                    </w:rPr>
                  </w:pPr>
                  <w:r w:rsidRPr="4B076F52" w:rsidR="0E67537D">
                    <w:rPr>
                      <w:rFonts w:ascii="Calibri" w:hAnsi="Calibri" w:eastAsia="Calibri" w:cs="Calibri"/>
                      <w:b w:val="1"/>
                      <w:bCs w:val="1"/>
                      <w:i w:val="0"/>
                      <w:iCs w:val="0"/>
                      <w:caps w:val="0"/>
                      <w:smallCaps w:val="0"/>
                      <w:noProof w:val="0"/>
                      <w:color w:val="000000" w:themeColor="text1" w:themeTint="FF" w:themeShade="FF"/>
                      <w:sz w:val="16"/>
                      <w:szCs w:val="16"/>
                      <w:lang w:val="en-GB"/>
                    </w:rPr>
                    <w:t>Knowledge and Understanding</w:t>
                  </w:r>
                </w:p>
                <w:p w:rsidR="75930DEF" w:rsidP="4B076F52" w:rsidRDefault="3FC32ADE" w14:paraId="1FEF4870" w14:textId="2FCEB50E">
                  <w:pPr>
                    <w:pStyle w:val="Normal"/>
                    <w:jc w:val="center"/>
                  </w:pPr>
                  <w:r w:rsidRPr="4B076F52" w:rsidR="0E67537D">
                    <w:rPr>
                      <w:rFonts w:ascii="Calibri" w:hAnsi="Calibri" w:eastAsia="Calibri" w:cs="Calibri"/>
                      <w:b w:val="0"/>
                      <w:bCs w:val="0"/>
                      <w:i w:val="0"/>
                      <w:iCs w:val="0"/>
                      <w:caps w:val="0"/>
                      <w:smallCaps w:val="0"/>
                      <w:noProof w:val="0"/>
                      <w:color w:val="000000" w:themeColor="text1" w:themeTint="FF" w:themeShade="FF"/>
                      <w:sz w:val="16"/>
                      <w:szCs w:val="16"/>
                      <w:lang w:val="en-GB"/>
                    </w:rPr>
                    <w:t>Planning for KS1, Lower KS2 and Upper KS2 follows the National Curriculum, and for EYFS, Development Matters (as part of Understanding of the World). Using the Long Term most science is planned into Learning Quests. Some science, however need to be taught discretely. A series of practical activities is planned through the Learning Quest, each session building on the knowledge, understanding and Working Scientifically ability from the last</w:t>
                  </w:r>
                </w:p>
                <w:p w:rsidR="75930DEF" w:rsidP="4B076F52" w:rsidRDefault="3FC32ADE" w14:paraId="31AE5448" w14:textId="6A246A38">
                  <w:pPr>
                    <w:jc w:val="center"/>
                    <w:rPr>
                      <w:rFonts w:ascii="Calibri" w:hAnsi="Calibri" w:eastAsia="Calibri" w:cs="Calibri"/>
                      <w:sz w:val="16"/>
                      <w:szCs w:val="16"/>
                    </w:rPr>
                  </w:pPr>
                </w:p>
              </w:tc>
              <w:tc>
                <w:tcPr>
                  <w:tcW w:w="5040" w:type="dxa"/>
                  <w:tcBorders>
                    <w:top w:val="double" w:color="808080" w:themeColor="background1" w:themeShade="80" w:sz="6" w:space="0"/>
                    <w:left w:val="double" w:color="808080" w:themeColor="background1" w:themeShade="80" w:sz="6" w:space="0"/>
                    <w:bottom w:val="double" w:color="808080" w:themeColor="background1" w:themeShade="80" w:sz="6" w:space="0"/>
                    <w:right w:val="double" w:color="808080" w:themeColor="background1" w:themeShade="80" w:sz="6" w:space="0"/>
                  </w:tcBorders>
                  <w:tcMar>
                    <w:left w:w="105" w:type="dxa"/>
                    <w:right w:w="105" w:type="dxa"/>
                  </w:tcMar>
                </w:tcPr>
                <w:p w:rsidR="75930DEF" w:rsidP="4B076F52" w:rsidRDefault="75930DEF" w14:paraId="3FC681FF" w14:textId="7F4893F3">
                  <w:pPr>
                    <w:jc w:val="center"/>
                    <w:rPr>
                      <w:rFonts w:ascii="Calibri" w:hAnsi="Calibri" w:eastAsia="Calibri" w:cs="Calibri"/>
                      <w:b w:val="0"/>
                      <w:bCs w:val="0"/>
                      <w:i w:val="0"/>
                      <w:iCs w:val="0"/>
                      <w:caps w:val="0"/>
                      <w:smallCaps w:val="0"/>
                      <w:noProof w:val="0"/>
                      <w:color w:val="000000" w:themeColor="text1" w:themeTint="FF" w:themeShade="FF"/>
                      <w:sz w:val="16"/>
                      <w:szCs w:val="16"/>
                      <w:lang w:val="en-GB"/>
                    </w:rPr>
                  </w:pPr>
                  <w:r w:rsidRPr="4B076F52" w:rsidR="0E67537D">
                    <w:rPr>
                      <w:rFonts w:ascii="Calibri" w:hAnsi="Calibri" w:eastAsia="Calibri" w:cs="Calibri"/>
                      <w:b w:val="1"/>
                      <w:bCs w:val="1"/>
                      <w:i w:val="0"/>
                      <w:iCs w:val="0"/>
                      <w:caps w:val="0"/>
                      <w:smallCaps w:val="0"/>
                      <w:noProof w:val="0"/>
                      <w:color w:val="000000" w:themeColor="text1" w:themeTint="FF" w:themeShade="FF"/>
                      <w:sz w:val="16"/>
                      <w:szCs w:val="16"/>
                      <w:lang w:val="en-GB"/>
                    </w:rPr>
                    <w:t>Cross-curricular</w:t>
                  </w:r>
                </w:p>
                <w:p w:rsidR="75930DEF" w:rsidP="4B076F52" w:rsidRDefault="75930DEF" w14:paraId="0E7E1EDD" w14:textId="588D6F89">
                  <w:pPr>
                    <w:jc w:val="center"/>
                    <w:rPr>
                      <w:rFonts w:ascii="Calibri" w:hAnsi="Calibri" w:eastAsia="Calibri" w:cs="Calibri"/>
                      <w:b w:val="0"/>
                      <w:bCs w:val="0"/>
                      <w:i w:val="0"/>
                      <w:iCs w:val="0"/>
                      <w:caps w:val="0"/>
                      <w:smallCaps w:val="0"/>
                      <w:noProof w:val="0"/>
                      <w:color w:val="000000" w:themeColor="text1" w:themeTint="FF" w:themeShade="FF"/>
                      <w:sz w:val="16"/>
                      <w:szCs w:val="16"/>
                      <w:lang w:val="en-GB"/>
                    </w:rPr>
                  </w:pPr>
                  <w:r w:rsidRPr="4B076F52" w:rsidR="0E67537D">
                    <w:rPr>
                      <w:rFonts w:ascii="Calibri" w:hAnsi="Calibri" w:eastAsia="Calibri" w:cs="Calibri"/>
                      <w:b w:val="0"/>
                      <w:bCs w:val="0"/>
                      <w:i w:val="0"/>
                      <w:iCs w:val="0"/>
                      <w:caps w:val="0"/>
                      <w:smallCaps w:val="0"/>
                      <w:noProof w:val="0"/>
                      <w:color w:val="000000" w:themeColor="text1" w:themeTint="FF" w:themeShade="FF"/>
                      <w:sz w:val="16"/>
                      <w:szCs w:val="16"/>
                      <w:lang w:val="en-GB"/>
                    </w:rPr>
                    <w:t xml:space="preserve">Opportunities for pupils to make schematic links to Science skills across the curriculum are regularly planned for.  </w:t>
                  </w:r>
                </w:p>
                <w:p w:rsidR="75930DEF" w:rsidP="4B076F52" w:rsidRDefault="75930DEF" w14:paraId="6E611227" w14:textId="21908BA7">
                  <w:pPr>
                    <w:jc w:val="center"/>
                    <w:rPr>
                      <w:rFonts w:ascii="Calibri" w:hAnsi="Calibri" w:eastAsia="Calibri" w:cs="Calibri"/>
                      <w:b w:val="0"/>
                      <w:bCs w:val="0"/>
                      <w:i w:val="0"/>
                      <w:iCs w:val="0"/>
                      <w:caps w:val="0"/>
                      <w:smallCaps w:val="0"/>
                      <w:noProof w:val="0"/>
                      <w:color w:val="000000" w:themeColor="text1" w:themeTint="FF" w:themeShade="FF"/>
                      <w:sz w:val="16"/>
                      <w:szCs w:val="16"/>
                      <w:lang w:val="en-GB"/>
                    </w:rPr>
                  </w:pPr>
                  <w:r w:rsidRPr="4B076F52" w:rsidR="0E67537D">
                    <w:rPr>
                      <w:rFonts w:ascii="Calibri" w:hAnsi="Calibri" w:eastAsia="Calibri" w:cs="Calibri"/>
                      <w:b w:val="0"/>
                      <w:bCs w:val="0"/>
                      <w:i w:val="0"/>
                      <w:iCs w:val="0"/>
                      <w:caps w:val="0"/>
                      <w:smallCaps w:val="0"/>
                      <w:noProof w:val="0"/>
                      <w:color w:val="000000" w:themeColor="text1" w:themeTint="FF" w:themeShade="FF"/>
                      <w:sz w:val="16"/>
                      <w:szCs w:val="16"/>
                      <w:lang w:val="en-GB"/>
                    </w:rPr>
                    <w:t xml:space="preserve">Children will need to use their English skills when reading, for </w:t>
                  </w:r>
                  <w:r w:rsidRPr="4B076F52" w:rsidR="0E67537D">
                    <w:rPr>
                      <w:rFonts w:ascii="Calibri" w:hAnsi="Calibri" w:eastAsia="Calibri" w:cs="Calibri"/>
                      <w:b w:val="0"/>
                      <w:bCs w:val="0"/>
                      <w:i w:val="0"/>
                      <w:iCs w:val="0"/>
                      <w:caps w:val="0"/>
                      <w:smallCaps w:val="0"/>
                      <w:noProof w:val="0"/>
                      <w:color w:val="000000" w:themeColor="text1" w:themeTint="FF" w:themeShade="FF"/>
                      <w:sz w:val="16"/>
                      <w:szCs w:val="16"/>
                      <w:lang w:val="en-GB"/>
                    </w:rPr>
                    <w:t>example,  background</w:t>
                  </w:r>
                  <w:r w:rsidRPr="4B076F52" w:rsidR="0E67537D">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material and instructions for practical activities. Handwriting and spelling knowledge is needed when writing up the method of an investigation. Children use their historical skills to investigate scientists and scientific discoveries. Many scientific themes lend themselves very well to Outdoor Learning, making the content more relevant to the children.</w:t>
                  </w:r>
                </w:p>
                <w:p w:rsidR="75930DEF" w:rsidP="4B076F52" w:rsidRDefault="75930DEF" w14:paraId="75E587CA" w14:textId="1CBEDBE2">
                  <w:pPr>
                    <w:jc w:val="center"/>
                    <w:rPr>
                      <w:rFonts w:ascii="Calibri" w:hAnsi="Calibri" w:eastAsia="Calibri" w:cs="Calibri"/>
                      <w:b w:val="0"/>
                      <w:bCs w:val="0"/>
                      <w:i w:val="0"/>
                      <w:iCs w:val="0"/>
                      <w:caps w:val="0"/>
                      <w:smallCaps w:val="0"/>
                      <w:noProof w:val="0"/>
                      <w:color w:val="000000" w:themeColor="text1" w:themeTint="FF" w:themeShade="FF"/>
                      <w:sz w:val="16"/>
                      <w:szCs w:val="16"/>
                      <w:lang w:val="en-GB"/>
                    </w:rPr>
                  </w:pPr>
                </w:p>
              </w:tc>
            </w:tr>
          </w:tbl>
          <w:p w:rsidR="75930DEF" w:rsidP="75930DEF" w:rsidRDefault="75930DEF" w14:paraId="1C04A076" w14:textId="522100E2">
            <w:pPr>
              <w:rPr>
                <w:rFonts w:ascii="Calibri" w:hAnsi="Calibri" w:eastAsia="Calibri" w:cs="Calibri"/>
                <w:color w:val="000000" w:themeColor="text1"/>
                <w:sz w:val="16"/>
                <w:szCs w:val="16"/>
              </w:rPr>
            </w:pPr>
          </w:p>
        </w:tc>
      </w:tr>
      <w:tr w:rsidR="75930DEF" w:rsidTr="4B076F52" w14:paraId="5B7011E2" w14:textId="77777777">
        <w:trPr>
          <w:trHeight w:val="300"/>
        </w:trPr>
        <w:tc>
          <w:tcPr>
            <w:tcW w:w="10512" w:type="dxa"/>
            <w:tcBorders>
              <w:top w:val="double" w:color="808080" w:themeColor="background1" w:themeShade="80" w:sz="12" w:space="0"/>
              <w:left w:val="double" w:color="808080" w:themeColor="background1" w:themeShade="80" w:sz="12" w:space="0"/>
              <w:bottom w:val="double" w:color="808080" w:themeColor="background1" w:themeShade="80" w:sz="12" w:space="0"/>
              <w:right w:val="double" w:color="808080" w:themeColor="background1" w:themeShade="80" w:sz="12" w:space="0"/>
            </w:tcBorders>
            <w:shd w:val="clear" w:color="auto" w:fill="D9D9D9" w:themeFill="background1" w:themeFillShade="D9"/>
            <w:tcMar>
              <w:left w:w="105" w:type="dxa"/>
              <w:right w:w="105" w:type="dxa"/>
            </w:tcMar>
          </w:tcPr>
          <w:p w:rsidR="75930DEF" w:rsidP="39CAFC54" w:rsidRDefault="75930DEF" w14:paraId="7AFD0D8A" w14:textId="0D391F9D">
            <w:pPr>
              <w:jc w:val="center"/>
              <w:rPr>
                <w:rFonts w:ascii="Calibri" w:hAnsi="Calibri" w:eastAsia="Calibri" w:cs="Calibri"/>
                <w:color w:val="000000" w:themeColor="text1"/>
                <w:sz w:val="22"/>
                <w:szCs w:val="22"/>
              </w:rPr>
            </w:pPr>
            <w:r w:rsidRPr="39CAFC54">
              <w:rPr>
                <w:rFonts w:ascii="Calibri" w:hAnsi="Calibri" w:eastAsia="Calibri" w:cs="Calibri"/>
                <w:b/>
                <w:bCs/>
                <w:color w:val="000000" w:themeColor="text1"/>
                <w:sz w:val="22"/>
                <w:szCs w:val="22"/>
              </w:rPr>
              <w:t>Curriculum IMPACT</w:t>
            </w:r>
          </w:p>
        </w:tc>
      </w:tr>
      <w:tr w:rsidR="75930DEF" w:rsidTr="4B076F52" w14:paraId="490D0D65" w14:textId="77777777">
        <w:trPr>
          <w:trHeight w:val="570"/>
        </w:trPr>
        <w:tc>
          <w:tcPr>
            <w:tcW w:w="10512" w:type="dxa"/>
            <w:tcBorders>
              <w:top w:val="double" w:color="808080" w:themeColor="background1" w:themeShade="80" w:sz="12" w:space="0"/>
              <w:left w:val="double" w:color="808080" w:themeColor="background1" w:themeShade="80" w:sz="12" w:space="0"/>
              <w:bottom w:val="double" w:color="808080" w:themeColor="background1" w:themeShade="80" w:sz="12" w:space="0"/>
              <w:right w:val="double" w:color="808080" w:themeColor="background1" w:themeShade="80" w:sz="12" w:space="0"/>
            </w:tcBorders>
            <w:tcMar>
              <w:left w:w="105" w:type="dxa"/>
              <w:right w:w="105" w:type="dxa"/>
            </w:tcMar>
          </w:tcPr>
          <w:p w:rsidR="55514B73" w:rsidP="4B076F52" w:rsidRDefault="55514B73" w14:paraId="624FC026" w14:textId="50E6C2C5">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16"/>
                <w:szCs w:val="16"/>
                <w:lang w:val="en-GB"/>
              </w:rPr>
            </w:pPr>
            <w:r w:rsidRPr="4B076F52" w:rsidR="55514B73">
              <w:rPr>
                <w:rFonts w:ascii="Calibri" w:hAnsi="Calibri" w:eastAsia="Calibri" w:cs="Calibri"/>
                <w:noProof w:val="0"/>
                <w:sz w:val="16"/>
                <w:szCs w:val="16"/>
                <w:lang w:val="en-GB"/>
              </w:rPr>
              <w:t xml:space="preserve">The impact of our science curriculum is that pupils leave our school as knowledgeable, curious, and confident scientists who can clearly explain their learning and apply it to real-life contexts. We know our science provision is effective because pupils can articulate what science is, what they are learning, and how it builds on prior knowledge across learning quests. Learning quest books show clear progression in scientific knowledge and enquiry skills, with evidence of practical investigations, </w:t>
            </w:r>
            <w:r w:rsidRPr="4B076F52" w:rsidR="55514B73">
              <w:rPr>
                <w:rFonts w:ascii="Calibri" w:hAnsi="Calibri" w:eastAsia="Calibri" w:cs="Calibri"/>
                <w:noProof w:val="0"/>
                <w:sz w:val="16"/>
                <w:szCs w:val="16"/>
                <w:lang w:val="en-GB"/>
              </w:rPr>
              <w:t>accurate</w:t>
            </w:r>
            <w:r w:rsidRPr="4B076F52" w:rsidR="55514B73">
              <w:rPr>
                <w:rFonts w:ascii="Calibri" w:hAnsi="Calibri" w:eastAsia="Calibri" w:cs="Calibri"/>
                <w:noProof w:val="0"/>
                <w:sz w:val="16"/>
                <w:szCs w:val="16"/>
                <w:lang w:val="en-GB"/>
              </w:rPr>
              <w:t xml:space="preserve"> use of scientific vocabulary, reflection, and developing understanding over time.</w:t>
            </w:r>
          </w:p>
          <w:p w:rsidR="55514B73" w:rsidP="4B076F52" w:rsidRDefault="55514B73" w14:paraId="1BBFAF85" w14:textId="2A833A2C">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16"/>
                <w:szCs w:val="16"/>
                <w:lang w:val="en-GB"/>
              </w:rPr>
            </w:pPr>
            <w:r w:rsidRPr="4B076F52" w:rsidR="55514B73">
              <w:rPr>
                <w:rFonts w:ascii="Calibri" w:hAnsi="Calibri" w:eastAsia="Calibri" w:cs="Calibri"/>
                <w:noProof w:val="0"/>
                <w:sz w:val="16"/>
                <w:szCs w:val="16"/>
                <w:lang w:val="en-GB"/>
              </w:rPr>
              <w:t xml:space="preserve">Teachers use assessment effectively to </w:t>
            </w:r>
            <w:r w:rsidRPr="4B076F52" w:rsidR="55514B73">
              <w:rPr>
                <w:rFonts w:ascii="Calibri" w:hAnsi="Calibri" w:eastAsia="Calibri" w:cs="Calibri"/>
                <w:noProof w:val="0"/>
                <w:sz w:val="16"/>
                <w:szCs w:val="16"/>
                <w:lang w:val="en-GB"/>
              </w:rPr>
              <w:t>identify</w:t>
            </w:r>
            <w:r w:rsidRPr="4B076F52" w:rsidR="55514B73">
              <w:rPr>
                <w:rFonts w:ascii="Calibri" w:hAnsi="Calibri" w:eastAsia="Calibri" w:cs="Calibri"/>
                <w:noProof w:val="0"/>
                <w:sz w:val="16"/>
                <w:szCs w:val="16"/>
                <w:lang w:val="en-GB"/>
              </w:rPr>
              <w:t xml:space="preserve"> misconceptions, adapt teaching, and ensure strong progress for all pupils. Pupil voice </w:t>
            </w:r>
            <w:r w:rsidRPr="4B076F52" w:rsidR="55514B73">
              <w:rPr>
                <w:rFonts w:ascii="Calibri" w:hAnsi="Calibri" w:eastAsia="Calibri" w:cs="Calibri"/>
                <w:noProof w:val="0"/>
                <w:sz w:val="16"/>
                <w:szCs w:val="16"/>
                <w:lang w:val="en-GB"/>
              </w:rPr>
              <w:t>demonstrates</w:t>
            </w:r>
            <w:r w:rsidRPr="4B076F52" w:rsidR="55514B73">
              <w:rPr>
                <w:rFonts w:ascii="Calibri" w:hAnsi="Calibri" w:eastAsia="Calibri" w:cs="Calibri"/>
                <w:noProof w:val="0"/>
                <w:sz w:val="16"/>
                <w:szCs w:val="16"/>
                <w:lang w:val="en-GB"/>
              </w:rPr>
              <w:t xml:space="preserve"> </w:t>
            </w:r>
            <w:r w:rsidRPr="4B076F52" w:rsidR="55514B73">
              <w:rPr>
                <w:rFonts w:ascii="Calibri" w:hAnsi="Calibri" w:eastAsia="Calibri" w:cs="Calibri"/>
                <w:noProof w:val="0"/>
                <w:sz w:val="16"/>
                <w:szCs w:val="16"/>
                <w:lang w:val="en-GB"/>
              </w:rPr>
              <w:t>high levels</w:t>
            </w:r>
            <w:r w:rsidRPr="4B076F52" w:rsidR="55514B73">
              <w:rPr>
                <w:rFonts w:ascii="Calibri" w:hAnsi="Calibri" w:eastAsia="Calibri" w:cs="Calibri"/>
                <w:noProof w:val="0"/>
                <w:sz w:val="16"/>
                <w:szCs w:val="16"/>
                <w:lang w:val="en-GB"/>
              </w:rPr>
              <w:t xml:space="preserve"> of engagement, enjoyment, and curiosity, particularly during hands-on investigations and enquiry-based learning. Behaviour and attitudes in science lessons are consistently positive, with pupils showing resilience, collaboration, and increasing independence when working scientifically.</w:t>
            </w:r>
          </w:p>
          <w:p w:rsidR="55514B73" w:rsidP="4B076F52" w:rsidRDefault="55514B73" w14:paraId="6B4FB726" w14:textId="1C9AC605">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16"/>
                <w:szCs w:val="16"/>
                <w:lang w:val="en-GB"/>
              </w:rPr>
            </w:pPr>
            <w:r w:rsidRPr="4B076F52" w:rsidR="55514B73">
              <w:rPr>
                <w:rFonts w:ascii="Calibri" w:hAnsi="Calibri" w:eastAsia="Calibri" w:cs="Calibri"/>
                <w:noProof w:val="0"/>
                <w:sz w:val="16"/>
                <w:szCs w:val="16"/>
                <w:lang w:val="en-GB"/>
              </w:rPr>
              <w:t xml:space="preserve">All pupils, including disadvantaged and SEND learners, make </w:t>
            </w:r>
            <w:r w:rsidRPr="4B076F52" w:rsidR="55514B73">
              <w:rPr>
                <w:rFonts w:ascii="Calibri" w:hAnsi="Calibri" w:eastAsia="Calibri" w:cs="Calibri"/>
                <w:noProof w:val="0"/>
                <w:sz w:val="16"/>
                <w:szCs w:val="16"/>
                <w:lang w:val="en-GB"/>
              </w:rPr>
              <w:t>good progress</w:t>
            </w:r>
            <w:r w:rsidRPr="4B076F52" w:rsidR="55514B73">
              <w:rPr>
                <w:rFonts w:ascii="Calibri" w:hAnsi="Calibri" w:eastAsia="Calibri" w:cs="Calibri"/>
                <w:noProof w:val="0"/>
                <w:sz w:val="16"/>
                <w:szCs w:val="16"/>
                <w:lang w:val="en-GB"/>
              </w:rPr>
              <w:t xml:space="preserve"> from their starting points through inclusive teaching, </w:t>
            </w:r>
            <w:r w:rsidRPr="4B076F52" w:rsidR="55514B73">
              <w:rPr>
                <w:rFonts w:ascii="Calibri" w:hAnsi="Calibri" w:eastAsia="Calibri" w:cs="Calibri"/>
                <w:noProof w:val="0"/>
                <w:sz w:val="16"/>
                <w:szCs w:val="16"/>
                <w:lang w:val="en-GB"/>
              </w:rPr>
              <w:t>appropriate scaffolding</w:t>
            </w:r>
            <w:r w:rsidRPr="4B076F52" w:rsidR="55514B73">
              <w:rPr>
                <w:rFonts w:ascii="Calibri" w:hAnsi="Calibri" w:eastAsia="Calibri" w:cs="Calibri"/>
                <w:noProof w:val="0"/>
                <w:sz w:val="16"/>
                <w:szCs w:val="16"/>
                <w:lang w:val="en-GB"/>
              </w:rPr>
              <w:t>, and practical learning opportunities. Science is clearly visible and valued across the school and contributes to pupils’ understanding of the world around them, developing critical thinking, problem-solving skills, and an appreciation of the role of science in everyday life and future careers.</w:t>
            </w:r>
          </w:p>
          <w:p w:rsidR="4B076F52" w:rsidP="4B076F52" w:rsidRDefault="4B076F52" w14:paraId="75B9F868" w14:textId="088CB7AE">
            <w:pPr>
              <w:jc w:val="center"/>
              <w:rPr>
                <w:rFonts w:ascii="Calibri" w:hAnsi="Calibri" w:eastAsia="Calibri" w:cs="Calibri"/>
                <w:color w:val="FF0000"/>
                <w:sz w:val="16"/>
                <w:szCs w:val="16"/>
              </w:rPr>
            </w:pPr>
          </w:p>
          <w:p w:rsidR="75930DEF" w:rsidP="4B076F52" w:rsidRDefault="75930DEF" w14:paraId="5A022E59" w14:textId="6781C257">
            <w:pPr>
              <w:jc w:val="center"/>
              <w:rPr>
                <w:rFonts w:ascii="Calibri" w:hAnsi="Calibri" w:eastAsia="Calibri" w:cs="Calibri"/>
                <w:color w:val="000000" w:themeColor="text1"/>
                <w:sz w:val="16"/>
                <w:szCs w:val="16"/>
              </w:rPr>
            </w:pPr>
            <w:r w:rsidRPr="4B076F52" w:rsidR="1AB6ADD5">
              <w:rPr>
                <w:rFonts w:ascii="Calibri" w:hAnsi="Calibri" w:eastAsia="Calibri" w:cs="Calibri"/>
                <w:color w:val="000000" w:themeColor="text1" w:themeTint="FF" w:themeShade="FF"/>
                <w:sz w:val="16"/>
                <w:szCs w:val="16"/>
              </w:rPr>
              <w:t>Governors, through the Governor Monitoring Plan and Subject Leader Reports, evaluate the work of subject leaders in ensuring that the quality of teaching and learning across the school is at least good. They ensure that pupils are ready for transition to secondary school and are equipped with the skills to flourish and succeed as caring individuals.</w:t>
            </w:r>
          </w:p>
        </w:tc>
      </w:tr>
    </w:tbl>
    <w:p w:rsidR="75930DEF" w:rsidRDefault="75930DEF" w14:paraId="27AF8AE5" w14:textId="17B7FE2B"/>
    <w:sectPr w:rsidR="75930DEF">
      <w:headerReference w:type="default" r:id="rId9"/>
      <w:footerReference w:type="default" r:id="rId1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6524" w:rsidRDefault="00D46524" w14:paraId="12C7C8B0" w14:textId="77777777">
      <w:pPr>
        <w:spacing w:after="0" w:line="240" w:lineRule="auto"/>
      </w:pPr>
      <w:r>
        <w:separator/>
      </w:r>
    </w:p>
  </w:endnote>
  <w:endnote w:type="continuationSeparator" w:id="0">
    <w:p w:rsidR="00D46524" w:rsidRDefault="00D46524" w14:paraId="3A42E79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8"/>
      <w:gridCol w:w="3009"/>
      <w:gridCol w:w="3009"/>
    </w:tblGrid>
    <w:tr w:rsidR="103D8D5C" w:rsidTr="103D8D5C" w14:paraId="5E98AD0A" w14:textId="77777777">
      <w:trPr>
        <w:trHeight w:val="300"/>
      </w:trPr>
      <w:tc>
        <w:tcPr>
          <w:tcW w:w="4650" w:type="dxa"/>
        </w:tcPr>
        <w:p w:rsidR="103D8D5C" w:rsidP="103D8D5C" w:rsidRDefault="103D8D5C" w14:paraId="48674434" w14:textId="75060BC8">
          <w:pPr>
            <w:pStyle w:val="Header"/>
            <w:ind w:left="-115"/>
          </w:pPr>
        </w:p>
      </w:tc>
      <w:tc>
        <w:tcPr>
          <w:tcW w:w="4650" w:type="dxa"/>
        </w:tcPr>
        <w:p w:rsidR="103D8D5C" w:rsidP="103D8D5C" w:rsidRDefault="103D8D5C" w14:paraId="094C5B6B" w14:textId="29C570D4">
          <w:pPr>
            <w:pStyle w:val="Header"/>
            <w:jc w:val="center"/>
          </w:pPr>
        </w:p>
      </w:tc>
      <w:tc>
        <w:tcPr>
          <w:tcW w:w="4650" w:type="dxa"/>
        </w:tcPr>
        <w:p w:rsidR="103D8D5C" w:rsidP="103D8D5C" w:rsidRDefault="103D8D5C" w14:paraId="59D6F4B8" w14:textId="30F5C886">
          <w:pPr>
            <w:pStyle w:val="Header"/>
            <w:ind w:right="-115"/>
            <w:jc w:val="right"/>
          </w:pPr>
        </w:p>
      </w:tc>
    </w:tr>
  </w:tbl>
  <w:p w:rsidR="103D8D5C" w:rsidP="103D8D5C" w:rsidRDefault="103D8D5C" w14:paraId="2D72D5E4" w14:textId="2CD17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6524" w:rsidRDefault="00D46524" w14:paraId="5B738FAD" w14:textId="77777777">
      <w:pPr>
        <w:spacing w:after="0" w:line="240" w:lineRule="auto"/>
      </w:pPr>
      <w:r>
        <w:separator/>
      </w:r>
    </w:p>
  </w:footnote>
  <w:footnote w:type="continuationSeparator" w:id="0">
    <w:p w:rsidR="00D46524" w:rsidRDefault="00D46524" w14:paraId="0D2DF5B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0" w:type="auto"/>
      <w:tblLook w:val="06A0" w:firstRow="1" w:lastRow="0" w:firstColumn="1" w:lastColumn="0" w:noHBand="1" w:noVBand="1"/>
    </w:tblPr>
    <w:tblGrid>
      <w:gridCol w:w="9026"/>
    </w:tblGrid>
    <w:tr w:rsidR="103D8D5C" w:rsidTr="4B076F52" w14:paraId="586E9787" w14:textId="77777777">
      <w:trPr>
        <w:trHeight w:val="300"/>
      </w:trPr>
      <w:tc>
        <w:tcPr>
          <w:tcW w:w="13950" w:type="dxa"/>
          <w:tcMar/>
        </w:tcPr>
        <w:p w:rsidR="103D8D5C" w:rsidP="4B076F52" w:rsidRDefault="53CE7E1F" w14:paraId="0DE850C1" w14:textId="3F7C09C4">
          <w:pPr>
            <w:spacing/>
            <w:contextualSpacing w:val="1"/>
            <w:rPr>
              <w:rFonts w:ascii="Calibri" w:hAnsi="Calibri" w:eastAsia="Calibri" w:cs="Calibri"/>
              <w:b w:val="1"/>
              <w:bCs w:val="1"/>
              <w:color w:val="000000" w:themeColor="text1"/>
              <w:sz w:val="40"/>
              <w:szCs w:val="40"/>
            </w:rPr>
          </w:pPr>
          <w:r w:rsidRPr="53CE7E1F" w:rsidR="4B076F52">
            <w:rPr>
              <w:rFonts w:ascii="Calibri" w:hAnsi="Calibri" w:eastAsia="Calibri" w:cs="Calibri"/>
              <w:b w:val="1"/>
              <w:bCs w:val="1"/>
              <w:color w:val="000000" w:themeColor="text1"/>
              <w:sz w:val="36"/>
              <w:szCs w:val="36"/>
            </w:rPr>
            <w:t xml:space="preserve">Science</w:t>
          </w:r>
          <w:r w:rsidRPr="53CE7E1F" w:rsidR="4B076F52">
            <w:rPr>
              <w:rFonts w:ascii="Calibri" w:hAnsi="Calibri" w:eastAsia="Calibri" w:cs="Calibri"/>
              <w:b w:val="1"/>
              <w:bCs w:val="1"/>
              <w:color w:val="000000" w:themeColor="text1"/>
              <w:sz w:val="36"/>
              <w:szCs w:val="36"/>
            </w:rPr>
            <w:t xml:space="preserve"> at St Alban’s CE Aided Primary    </w:t>
          </w:r>
          <w:r w:rsidR="103D8D5C">
            <w:rPr>
              <w:noProof/>
            </w:rPr>
            <w:drawing>
              <wp:anchor distT="0" distB="0" distL="114300" distR="114300" simplePos="0" relativeHeight="251658240" behindDoc="0" locked="0" layoutInCell="1" allowOverlap="1" wp14:anchorId="76A3DC0F" wp14:editId="1D413F68">
                <wp:simplePos x="0" y="0"/>
                <wp:positionH relativeFrom="column">
                  <wp:posOffset>3752850</wp:posOffset>
                </wp:positionH>
                <wp:positionV relativeFrom="paragraph">
                  <wp:posOffset>-142875</wp:posOffset>
                </wp:positionV>
                <wp:extent cx="2743200" cy="468351"/>
                <wp:effectExtent l="0" t="0" r="0" b="0"/>
                <wp:wrapNone/>
                <wp:docPr id="878376045" name="drawing" title="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76045" name="Picture 878376045"/>
                        <pic:cNvPicPr/>
                      </pic:nvPicPr>
                      <pic:blipFill>
                        <a:blip r:embed="rId1">
                          <a:extLst>
                            <a:ext uri="{28A0092B-C50C-407E-A947-70E740481C1C}">
                              <a14:useLocalDpi xmlns:a14="http://schemas.microsoft.com/office/drawing/2010/main"/>
                            </a:ext>
                          </a:extLst>
                        </a:blip>
                        <a:stretch>
                          <a:fillRect/>
                        </a:stretch>
                      </pic:blipFill>
                      <pic:spPr>
                        <a:xfrm>
                          <a:off x="0" y="0"/>
                          <a:ext cx="2743200" cy="468351"/>
                        </a:xfrm>
                        <a:prstGeom prst="rect">
                          <a:avLst/>
                        </a:prstGeom>
                      </pic:spPr>
                    </pic:pic>
                  </a:graphicData>
                </a:graphic>
                <wp14:sizeRelH relativeFrom="page">
                  <wp14:pctWidth>0</wp14:pctWidth>
                </wp14:sizeRelH>
                <wp14:sizeRelV relativeFrom="page">
                  <wp14:pctHeight>0</wp14:pctHeight>
                </wp14:sizeRelV>
              </wp:anchor>
            </w:drawing>
          </w:r>
        </w:p>
      </w:tc>
    </w:tr>
  </w:tbl>
  <w:p w:rsidR="4B076F52" w:rsidP="4B076F52" w:rsidRDefault="4B076F52" w14:paraId="16EEAE06" w14:textId="4EBD2D8D">
    <w:pPr>
      <w:pStyle w:val="Header"/>
      <w:rPr>
        <w:rFonts w:ascii="Calibri" w:hAnsi="Calibri" w:eastAsia="Calibri" w:cs="Calibri"/>
        <w:b w:val="0"/>
        <w:bCs w:val="0"/>
        <w:i w:val="0"/>
        <w:iCs w:val="0"/>
        <w:caps w:val="0"/>
        <w:smallCaps w:val="0"/>
        <w:noProof w:val="0"/>
        <w:color w:val="000000" w:themeColor="text1" w:themeTint="FF" w:themeShade="FF"/>
        <w:sz w:val="16"/>
        <w:szCs w:val="16"/>
        <w:lang w:val="en-GB"/>
      </w:rPr>
    </w:pPr>
  </w:p>
</w:hdr>
</file>

<file path=word/numbering.xml><?xml version="1.0" encoding="utf-8"?>
<w:numbering xmlns:w="http://schemas.openxmlformats.org/wordprocessingml/2006/main">
  <w:abstractNum xmlns:w="http://schemas.openxmlformats.org/wordprocessingml/2006/main" w:abstractNumId="3">
    <w:nsid w:val="754198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3a4c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c81b8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D145E0"/>
    <w:rsid w:val="006F044F"/>
    <w:rsid w:val="008D4C55"/>
    <w:rsid w:val="00B7535D"/>
    <w:rsid w:val="00BE4BBC"/>
    <w:rsid w:val="00D46524"/>
    <w:rsid w:val="00E13D1B"/>
    <w:rsid w:val="00F624FA"/>
    <w:rsid w:val="02EE9E50"/>
    <w:rsid w:val="04171DB8"/>
    <w:rsid w:val="05644BAF"/>
    <w:rsid w:val="0573EFDC"/>
    <w:rsid w:val="05CF53FB"/>
    <w:rsid w:val="072A69BD"/>
    <w:rsid w:val="084ED5FC"/>
    <w:rsid w:val="09246EED"/>
    <w:rsid w:val="09F264EB"/>
    <w:rsid w:val="0AD145E0"/>
    <w:rsid w:val="0BA35DDA"/>
    <w:rsid w:val="0BC650E0"/>
    <w:rsid w:val="0E67537D"/>
    <w:rsid w:val="103D8D5C"/>
    <w:rsid w:val="10796D4A"/>
    <w:rsid w:val="124EE853"/>
    <w:rsid w:val="13411B42"/>
    <w:rsid w:val="157A4B05"/>
    <w:rsid w:val="1589B25B"/>
    <w:rsid w:val="163B611E"/>
    <w:rsid w:val="17E132C6"/>
    <w:rsid w:val="191555AB"/>
    <w:rsid w:val="1A8627F6"/>
    <w:rsid w:val="1AB6ADD5"/>
    <w:rsid w:val="1DAD9E08"/>
    <w:rsid w:val="1F732AF0"/>
    <w:rsid w:val="1FB02FCA"/>
    <w:rsid w:val="1FD8FFC1"/>
    <w:rsid w:val="1FFE0CB7"/>
    <w:rsid w:val="21D36217"/>
    <w:rsid w:val="235CE715"/>
    <w:rsid w:val="25DB774C"/>
    <w:rsid w:val="2A618C89"/>
    <w:rsid w:val="2D0E60D8"/>
    <w:rsid w:val="2DD2140A"/>
    <w:rsid w:val="2DFADFF8"/>
    <w:rsid w:val="2EF486CD"/>
    <w:rsid w:val="30B596C6"/>
    <w:rsid w:val="3130C810"/>
    <w:rsid w:val="31B48FA9"/>
    <w:rsid w:val="343EFEBC"/>
    <w:rsid w:val="345998DB"/>
    <w:rsid w:val="347F6E90"/>
    <w:rsid w:val="38CF984C"/>
    <w:rsid w:val="39CAFC54"/>
    <w:rsid w:val="39E8686C"/>
    <w:rsid w:val="3CC8CBFA"/>
    <w:rsid w:val="3EB361DC"/>
    <w:rsid w:val="3FC32ADE"/>
    <w:rsid w:val="41E2E03F"/>
    <w:rsid w:val="423D28E6"/>
    <w:rsid w:val="42A652CE"/>
    <w:rsid w:val="433AB692"/>
    <w:rsid w:val="456368FA"/>
    <w:rsid w:val="45B6FD5E"/>
    <w:rsid w:val="463641AB"/>
    <w:rsid w:val="4B076F52"/>
    <w:rsid w:val="4BC3BE2B"/>
    <w:rsid w:val="510C55E4"/>
    <w:rsid w:val="51EC3644"/>
    <w:rsid w:val="530270C3"/>
    <w:rsid w:val="53C42EAB"/>
    <w:rsid w:val="53CE7E1F"/>
    <w:rsid w:val="5494340B"/>
    <w:rsid w:val="55514B73"/>
    <w:rsid w:val="557DAF87"/>
    <w:rsid w:val="57772AC4"/>
    <w:rsid w:val="5EC3DC7B"/>
    <w:rsid w:val="5F94A840"/>
    <w:rsid w:val="618B1FEC"/>
    <w:rsid w:val="624F27D1"/>
    <w:rsid w:val="637F4CD7"/>
    <w:rsid w:val="640C36D6"/>
    <w:rsid w:val="66DFF802"/>
    <w:rsid w:val="66EBEB65"/>
    <w:rsid w:val="681749F3"/>
    <w:rsid w:val="6860CFDE"/>
    <w:rsid w:val="6925CCE1"/>
    <w:rsid w:val="6B9F4D6E"/>
    <w:rsid w:val="6BA265BF"/>
    <w:rsid w:val="6C28FB64"/>
    <w:rsid w:val="6C3D6197"/>
    <w:rsid w:val="6DCF14AD"/>
    <w:rsid w:val="6FCC634B"/>
    <w:rsid w:val="711E9695"/>
    <w:rsid w:val="716E5677"/>
    <w:rsid w:val="72128A4C"/>
    <w:rsid w:val="721B8821"/>
    <w:rsid w:val="721D6CC1"/>
    <w:rsid w:val="75930DEF"/>
    <w:rsid w:val="764CDA1E"/>
    <w:rsid w:val="7736E065"/>
    <w:rsid w:val="7759AA20"/>
    <w:rsid w:val="785FB969"/>
    <w:rsid w:val="7936CEF1"/>
    <w:rsid w:val="7B9A5F90"/>
    <w:rsid w:val="7C9B5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145E0"/>
  <w15:chartTrackingRefBased/>
  <w15:docId w15:val="{DF073721-F5D4-4DC7-B11B-BB094CBB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103D8D5C"/>
    <w:pPr>
      <w:tabs>
        <w:tab w:val="center" w:pos="4680"/>
        <w:tab w:val="right" w:pos="9360"/>
      </w:tabs>
      <w:spacing w:after="0" w:line="240" w:lineRule="auto"/>
    </w:pPr>
  </w:style>
  <w:style w:type="paragraph" w:styleId="Footer">
    <w:name w:val="footer"/>
    <w:basedOn w:val="Normal"/>
    <w:uiPriority w:val="99"/>
    <w:unhideWhenUsed/>
    <w:rsid w:val="103D8D5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75930DEF"/>
    <w:rPr>
      <w:color w:val="467886"/>
      <w:u w:val="single"/>
    </w:rPr>
  </w:style>
  <w:style w:type="paragraph" w:styleId="ListParagraph">
    <w:uiPriority w:val="34"/>
    <w:name w:val="List Paragraph"/>
    <w:basedOn w:val="Normal"/>
    <w:qFormat/>
    <w:rsid w:val="4B076F5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numbering" Target="numbering.xml" Id="R59311069333a4d2a"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65C2B5-FE1C-4EF3-AEF0-C86EBF124091}">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B7D70D46-0F3B-4589-978B-D7C6A8BEC94B}">
  <ds:schemaRefs>
    <ds:schemaRef ds:uri="http://schemas.microsoft.com/sharepoint/v3/contenttype/forms"/>
  </ds:schemaRefs>
</ds:datastoreItem>
</file>

<file path=customXml/itemProps3.xml><?xml version="1.0" encoding="utf-8"?>
<ds:datastoreItem xmlns:ds="http://schemas.openxmlformats.org/officeDocument/2006/customXml" ds:itemID="{CE29F08A-791F-47C1-B168-A006CB650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Lorna  Kirby</dc:creator>
  <keywords/>
  <dc:description/>
  <lastModifiedBy>Claire McLeish</lastModifiedBy>
  <revision>12</revision>
  <dcterms:created xsi:type="dcterms:W3CDTF">2026-01-07T18:57:00.0000000Z</dcterms:created>
  <dcterms:modified xsi:type="dcterms:W3CDTF">2026-01-08T16:55:27.2255591Z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68700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